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6B1A6" w14:textId="4769C8B0" w:rsidR="00697939" w:rsidRDefault="009F2F07" w:rsidP="009F2F07">
      <w:pPr>
        <w:pStyle w:val="Heading1"/>
        <w:numPr>
          <w:ilvl w:val="0"/>
          <w:numId w:val="0"/>
        </w:numPr>
      </w:pPr>
      <w:r>
        <w:t>Succession chart</w:t>
      </w:r>
      <w:r w:rsidR="00FF5EFE">
        <w:t xml:space="preserve"> – temporary leave</w:t>
      </w:r>
      <w:r w:rsidR="00401BCD">
        <w:t xml:space="preserve"> – could be recovery, surgery, accident recovery, illness, etc. </w:t>
      </w:r>
    </w:p>
    <w:p w14:paraId="744D419F" w14:textId="7D390248" w:rsidR="007D04E1" w:rsidRDefault="007D04E1" w:rsidP="007D04E1">
      <w:pPr>
        <w:pStyle w:val="ListParagraph"/>
        <w:numPr>
          <w:ilvl w:val="0"/>
          <w:numId w:val="5"/>
        </w:numPr>
      </w:pPr>
      <w:r>
        <w:t>Checklists</w:t>
      </w:r>
    </w:p>
    <w:p w14:paraId="3636D4F2" w14:textId="34A5AB1A" w:rsidR="007D04E1" w:rsidRDefault="007D04E1" w:rsidP="007D04E1">
      <w:pPr>
        <w:pStyle w:val="ListParagraph"/>
        <w:numPr>
          <w:ilvl w:val="0"/>
          <w:numId w:val="5"/>
        </w:numPr>
      </w:pPr>
      <w:r>
        <w:t>Letter templates</w:t>
      </w:r>
    </w:p>
    <w:p w14:paraId="25A0164A" w14:textId="026B6C91" w:rsidR="007D04E1" w:rsidRDefault="007D04E1" w:rsidP="007D04E1">
      <w:pPr>
        <w:pStyle w:val="ListParagraph"/>
        <w:numPr>
          <w:ilvl w:val="0"/>
          <w:numId w:val="5"/>
        </w:numPr>
      </w:pPr>
      <w:r>
        <w:t>Personal examples of thinking I could do too much</w:t>
      </w:r>
    </w:p>
    <w:p w14:paraId="5BFF4BB6" w14:textId="4252B3A7" w:rsidR="007D04E1" w:rsidRDefault="007D04E1" w:rsidP="007D04E1">
      <w:pPr>
        <w:pStyle w:val="ListParagraph"/>
        <w:numPr>
          <w:ilvl w:val="0"/>
          <w:numId w:val="5"/>
        </w:numPr>
      </w:pPr>
      <w:r>
        <w:t>Personal examples of unreasonable client expectations and how to manage them</w:t>
      </w:r>
    </w:p>
    <w:p w14:paraId="556A8D16" w14:textId="312581F0" w:rsidR="00CC6067" w:rsidRDefault="00CC6067" w:rsidP="007D04E1">
      <w:pPr>
        <w:pStyle w:val="ListParagraph"/>
        <w:numPr>
          <w:ilvl w:val="0"/>
          <w:numId w:val="5"/>
        </w:numPr>
      </w:pPr>
      <w:r>
        <w:t>Guidelines for planning ahead</w:t>
      </w:r>
    </w:p>
    <w:p w14:paraId="3C4924B6" w14:textId="61946020" w:rsidR="00CC6067" w:rsidRDefault="00CC6067" w:rsidP="007D04E1">
      <w:pPr>
        <w:pStyle w:val="ListParagraph"/>
        <w:numPr>
          <w:ilvl w:val="0"/>
          <w:numId w:val="5"/>
        </w:numPr>
      </w:pPr>
      <w:r>
        <w:t>First aid if you were unable to plan ahead</w:t>
      </w:r>
    </w:p>
    <w:p w14:paraId="2B9997DB" w14:textId="5EECF1EB" w:rsidR="00401BCD" w:rsidRDefault="00401BCD" w:rsidP="009F2F07">
      <w:pPr>
        <w:pStyle w:val="Heading1"/>
      </w:pPr>
      <w:r>
        <w:lastRenderedPageBreak/>
        <w:t>Practice leave policy will be helpful</w:t>
      </w:r>
      <w:r w:rsidR="00676EF9">
        <w:t xml:space="preserve"> – MSBA is interested in forms and templates too. </w:t>
      </w:r>
    </w:p>
    <w:p w14:paraId="01917C1F" w14:textId="4044D484" w:rsidR="009F2F07" w:rsidRDefault="009F2F07" w:rsidP="009F2F07">
      <w:pPr>
        <w:pStyle w:val="Heading1"/>
      </w:pPr>
      <w:r>
        <w:t>The case must be attended to during absence</w:t>
      </w:r>
    </w:p>
    <w:p w14:paraId="02E30D25" w14:textId="09549CA4" w:rsidR="009F2F07" w:rsidRDefault="009F2F07" w:rsidP="009F2F07">
      <w:pPr>
        <w:pStyle w:val="Heading2"/>
      </w:pPr>
      <w:r>
        <w:t>Withdraw</w:t>
      </w:r>
      <w:r w:rsidR="00994C66">
        <w:t xml:space="preserve"> - </w:t>
      </w:r>
      <w:hyperlink r:id="rId5" w:history="1">
        <w:r w:rsidR="00333A01" w:rsidRPr="00F6345F">
          <w:rPr>
            <w:rStyle w:val="Hyperlink"/>
          </w:rPr>
          <w:t>http://lprb.mncourts.gov/articles/Articles/Withdrawing%20as%20counsel%20(ethically).pdf</w:t>
        </w:r>
      </w:hyperlink>
      <w:r w:rsidR="00333A01">
        <w:t xml:space="preserve"> </w:t>
      </w:r>
    </w:p>
    <w:p w14:paraId="5233AFCB" w14:textId="77777777" w:rsidR="00333A01" w:rsidRDefault="00333A01" w:rsidP="00333A01">
      <w:pPr>
        <w:pStyle w:val="Heading3"/>
      </w:pPr>
      <w:r>
        <w:t xml:space="preserve">Is it required under the rules? </w:t>
      </w:r>
    </w:p>
    <w:p w14:paraId="2C3F48E1" w14:textId="77E98D84" w:rsidR="00333A01" w:rsidRDefault="00333A01" w:rsidP="00333A01">
      <w:pPr>
        <w:pStyle w:val="Heading4"/>
      </w:pPr>
      <w:r>
        <w:t>Competence</w:t>
      </w:r>
    </w:p>
    <w:p w14:paraId="15230DDA" w14:textId="46A049DD" w:rsidR="003C4D90" w:rsidRPr="003C4D90" w:rsidRDefault="003C4D90" w:rsidP="003C4D90">
      <w:pPr>
        <w:pStyle w:val="Heading4"/>
      </w:pPr>
      <w:r>
        <w:t xml:space="preserve">Representation would violate rules – you cannot communicate, etc.. </w:t>
      </w:r>
    </w:p>
    <w:p w14:paraId="0A553931" w14:textId="4389622F" w:rsidR="00333A01" w:rsidRDefault="00333A01" w:rsidP="00333A01">
      <w:pPr>
        <w:pStyle w:val="Heading4"/>
      </w:pPr>
      <w:r>
        <w:t xml:space="preserve">Inability to complete the </w:t>
      </w:r>
      <w:r w:rsidR="00FF5EFE">
        <w:t>representation.</w:t>
      </w:r>
    </w:p>
    <w:p w14:paraId="3F67E22D" w14:textId="3DE2146D" w:rsidR="003C4D90" w:rsidRPr="003C4D90" w:rsidRDefault="003C4D90" w:rsidP="003C4D90">
      <w:pPr>
        <w:pStyle w:val="Heading4"/>
      </w:pPr>
      <w:r>
        <w:t>We can provide withdrawal letter language</w:t>
      </w:r>
    </w:p>
    <w:p w14:paraId="5F7347D3" w14:textId="18F2F96A" w:rsidR="009F2F07" w:rsidRDefault="009F2F07" w:rsidP="009F2F07">
      <w:pPr>
        <w:pStyle w:val="Heading3"/>
      </w:pPr>
      <w:r>
        <w:t>Is this allowed under the rules?</w:t>
      </w:r>
    </w:p>
    <w:p w14:paraId="54D4FF8B" w14:textId="6BF9C100" w:rsidR="00333A01" w:rsidRDefault="00FF5EFE" w:rsidP="00333A01">
      <w:pPr>
        <w:pStyle w:val="Heading4"/>
      </w:pPr>
      <w:r>
        <w:t xml:space="preserve">Material impact on client? Need </w:t>
      </w:r>
      <w:r w:rsidR="003C4D90">
        <w:t>examples</w:t>
      </w:r>
    </w:p>
    <w:p w14:paraId="011D6227" w14:textId="62564488" w:rsidR="003C4D90" w:rsidRPr="003C4D90" w:rsidRDefault="003C4D90" w:rsidP="003C4D90">
      <w:pPr>
        <w:pStyle w:val="Heading4"/>
      </w:pPr>
      <w:r>
        <w:t xml:space="preserve">Need language for </w:t>
      </w:r>
      <w:r w:rsidR="000253A7">
        <w:t xml:space="preserve">client notification of </w:t>
      </w:r>
      <w:r>
        <w:t>voluntary withdrawal – good option if client has been difficult or is triggering</w:t>
      </w:r>
      <w:r w:rsidR="000253A7">
        <w:t xml:space="preserve">; not necessary to reveal personal information but withdrawal must be respectful. </w:t>
      </w:r>
    </w:p>
    <w:p w14:paraId="01FC5856" w14:textId="5DABA898" w:rsidR="003C4D90" w:rsidRPr="003C4D90" w:rsidRDefault="000253A7" w:rsidP="003C4D90">
      <w:pPr>
        <w:pStyle w:val="Heading3"/>
      </w:pPr>
      <w:r>
        <w:t>What are court rules for withdrawal – provide links and templates</w:t>
      </w:r>
    </w:p>
    <w:p w14:paraId="67BBE652" w14:textId="23EF51E2" w:rsidR="009F2F07" w:rsidRDefault="009F2F07" w:rsidP="009F2F07">
      <w:pPr>
        <w:pStyle w:val="Heading2"/>
      </w:pPr>
      <w:r>
        <w:t>Associate with colleague</w:t>
      </w:r>
    </w:p>
    <w:p w14:paraId="3C3E234C" w14:textId="0D2697C6" w:rsidR="009F2F07" w:rsidRDefault="009F2F07" w:rsidP="009F2F07">
      <w:pPr>
        <w:pStyle w:val="Heading3"/>
      </w:pPr>
      <w:r>
        <w:t xml:space="preserve">Informed consent – </w:t>
      </w:r>
      <w:r w:rsidR="003C4D90">
        <w:t>we can provide language</w:t>
      </w:r>
    </w:p>
    <w:p w14:paraId="6676822B" w14:textId="15424405" w:rsidR="003C4D90" w:rsidRDefault="003C4D90" w:rsidP="003C4D90">
      <w:pPr>
        <w:pStyle w:val="Heading3"/>
      </w:pPr>
      <w:r>
        <w:t>Your colleague is working at your direction</w:t>
      </w:r>
    </w:p>
    <w:p w14:paraId="4808D141" w14:textId="6C753B36" w:rsidR="003C4D90" w:rsidRDefault="003C4D90" w:rsidP="003C4D90">
      <w:pPr>
        <w:pStyle w:val="Heading3"/>
      </w:pPr>
      <w:r>
        <w:t>Scope of work</w:t>
      </w:r>
    </w:p>
    <w:p w14:paraId="3A078AE0" w14:textId="02F31988" w:rsidR="003C4D90" w:rsidRDefault="003C4D90" w:rsidP="003C4D90">
      <w:pPr>
        <w:pStyle w:val="Heading4"/>
      </w:pPr>
      <w:r>
        <w:t>Monitoring for emergencies only</w:t>
      </w:r>
    </w:p>
    <w:p w14:paraId="52F41874" w14:textId="2AF4DECD" w:rsidR="003C4D90" w:rsidRDefault="003C4D90" w:rsidP="003C4D90">
      <w:pPr>
        <w:pStyle w:val="Heading4"/>
      </w:pPr>
      <w:r>
        <w:t>Clear direction</w:t>
      </w:r>
    </w:p>
    <w:p w14:paraId="49634BA4" w14:textId="5FA32BF6" w:rsidR="000253A7" w:rsidRDefault="000253A7" w:rsidP="000253A7">
      <w:pPr>
        <w:pStyle w:val="Heading2"/>
      </w:pPr>
      <w:r>
        <w:t>What will be your availability?</w:t>
      </w:r>
    </w:p>
    <w:p w14:paraId="03F87517" w14:textId="1EACE18C" w:rsidR="000253A7" w:rsidRDefault="000253A7" w:rsidP="000253A7">
      <w:pPr>
        <w:pStyle w:val="Heading3"/>
      </w:pPr>
      <w:r>
        <w:t>Scope of work</w:t>
      </w:r>
    </w:p>
    <w:p w14:paraId="29A9CF05" w14:textId="7C454C09" w:rsidR="00401BCD" w:rsidRDefault="00401BCD" w:rsidP="00401BCD">
      <w:pPr>
        <w:pStyle w:val="Heading3"/>
      </w:pPr>
      <w:r>
        <w:t xml:space="preserve">Your job is to attend to your health. Be reasonable. </w:t>
      </w:r>
    </w:p>
    <w:p w14:paraId="0123E84B" w14:textId="096B440F" w:rsidR="00401BCD" w:rsidRPr="00401BCD" w:rsidRDefault="00401BCD" w:rsidP="00401BCD">
      <w:pPr>
        <w:pStyle w:val="Heading3"/>
      </w:pPr>
      <w:r>
        <w:t>Your care team may place limits</w:t>
      </w:r>
    </w:p>
    <w:p w14:paraId="07FC6880" w14:textId="72A02E20" w:rsidR="000253A7" w:rsidRDefault="00401BCD" w:rsidP="000253A7">
      <w:pPr>
        <w:pStyle w:val="Heading1"/>
      </w:pPr>
      <w:r>
        <w:t>N</w:t>
      </w:r>
      <w:r w:rsidR="000253A7">
        <w:t xml:space="preserve">o </w:t>
      </w:r>
      <w:r>
        <w:t>action is required</w:t>
      </w:r>
      <w:r w:rsidR="00B80831">
        <w:t xml:space="preserve"> or expected</w:t>
      </w:r>
    </w:p>
    <w:p w14:paraId="1E60C9F3" w14:textId="4227D4AF" w:rsidR="00401BCD" w:rsidRDefault="00401BCD" w:rsidP="00401BCD">
      <w:pPr>
        <w:pStyle w:val="Heading2"/>
      </w:pPr>
      <w:r>
        <w:t xml:space="preserve">Different </w:t>
      </w:r>
      <w:r w:rsidR="00676EF9">
        <w:t>notices</w:t>
      </w:r>
      <w:r>
        <w:t xml:space="preserve"> depending on level of </w:t>
      </w:r>
      <w:r w:rsidR="00676EF9">
        <w:t>activity</w:t>
      </w:r>
    </w:p>
    <w:p w14:paraId="47B6A887" w14:textId="02A96519" w:rsidR="00676EF9" w:rsidRDefault="00676EF9" w:rsidP="00676EF9">
      <w:pPr>
        <w:pStyle w:val="Heading3"/>
      </w:pPr>
      <w:r>
        <w:t>How soon is there a need?</w:t>
      </w:r>
    </w:p>
    <w:p w14:paraId="3D383531" w14:textId="2DC09F98" w:rsidR="00676EF9" w:rsidRDefault="00676EF9" w:rsidP="00676EF9">
      <w:pPr>
        <w:pStyle w:val="Heading3"/>
      </w:pPr>
      <w:r>
        <w:t>How “needy” is the client?</w:t>
      </w:r>
    </w:p>
    <w:p w14:paraId="00BD8533" w14:textId="06FAD1CB" w:rsidR="00676EF9" w:rsidRDefault="00676EF9" w:rsidP="00676EF9">
      <w:pPr>
        <w:pStyle w:val="Heading3"/>
      </w:pPr>
      <w:r>
        <w:t>What needs to be communicated? Back up? Set expectations</w:t>
      </w:r>
    </w:p>
    <w:p w14:paraId="290F2D4C" w14:textId="097DE8B0" w:rsidR="00B80831" w:rsidRDefault="00B80831" w:rsidP="00B80831">
      <w:pPr>
        <w:pStyle w:val="Heading3"/>
      </w:pPr>
      <w:r>
        <w:t>What are arrangements to communicate during and after return</w:t>
      </w:r>
    </w:p>
    <w:p w14:paraId="716362AB" w14:textId="77777777" w:rsidR="007D04E1" w:rsidRPr="007D04E1" w:rsidRDefault="007D04E1" w:rsidP="007D04E1"/>
    <w:p w14:paraId="3DBA457F" w14:textId="77777777" w:rsidR="00676EF9" w:rsidRPr="00676EF9" w:rsidRDefault="00676EF9" w:rsidP="00676EF9"/>
    <w:p w14:paraId="61F51DFE" w14:textId="075E8286" w:rsidR="00676EF9" w:rsidRDefault="007D04E1" w:rsidP="007D04E1">
      <w:pPr>
        <w:pStyle w:val="Heading1"/>
      </w:pPr>
      <w:r>
        <w:t>Following or during leave, lawyer decides to close practice – refer to practice closure resources</w:t>
      </w:r>
    </w:p>
    <w:p w14:paraId="7C782BB0" w14:textId="4983A426" w:rsidR="007D04E1" w:rsidRPr="007D04E1" w:rsidRDefault="007D04E1" w:rsidP="007D04E1">
      <w:pPr>
        <w:pStyle w:val="Heading1"/>
      </w:pPr>
      <w:r>
        <w:t>Following or during leave, lawyer is no longer able to continue practice – refer to practice closing or closing someone else’s practice resources</w:t>
      </w:r>
    </w:p>
    <w:p w14:paraId="62EA7268" w14:textId="77777777" w:rsidR="007D04E1" w:rsidRPr="007D04E1" w:rsidRDefault="007D04E1" w:rsidP="007D04E1"/>
    <w:p w14:paraId="1629C2EB" w14:textId="77777777" w:rsidR="003C4D90" w:rsidRPr="003C4D90" w:rsidRDefault="003C4D90" w:rsidP="003C4D90"/>
    <w:p w14:paraId="370FC394" w14:textId="77777777" w:rsidR="009F2F07" w:rsidRPr="009F2F07" w:rsidRDefault="009F2F07" w:rsidP="009F2F07"/>
    <w:sectPr w:rsidR="009F2F07" w:rsidRPr="009F2F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32298"/>
    <w:multiLevelType w:val="hybridMultilevel"/>
    <w:tmpl w:val="CC02D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FD682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6275780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74CA4216"/>
    <w:multiLevelType w:val="multilevel"/>
    <w:tmpl w:val="2B0CB25C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4" w15:restartNumberingAfterBreak="0">
    <w:nsid w:val="75A47444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 w16cid:durableId="963463779">
    <w:abstractNumId w:val="3"/>
  </w:num>
  <w:num w:numId="2" w16cid:durableId="1748728509">
    <w:abstractNumId w:val="4"/>
  </w:num>
  <w:num w:numId="3" w16cid:durableId="498741580">
    <w:abstractNumId w:val="2"/>
  </w:num>
  <w:num w:numId="4" w16cid:durableId="1348755647">
    <w:abstractNumId w:val="1"/>
  </w:num>
  <w:num w:numId="5" w16cid:durableId="1228151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F07"/>
    <w:rsid w:val="000253A7"/>
    <w:rsid w:val="00034E2A"/>
    <w:rsid w:val="000C66CE"/>
    <w:rsid w:val="00333A01"/>
    <w:rsid w:val="003C4D90"/>
    <w:rsid w:val="00401BCD"/>
    <w:rsid w:val="00676EF9"/>
    <w:rsid w:val="00697939"/>
    <w:rsid w:val="007A24F9"/>
    <w:rsid w:val="007D04E1"/>
    <w:rsid w:val="00994C66"/>
    <w:rsid w:val="009F2F07"/>
    <w:rsid w:val="00B80831"/>
    <w:rsid w:val="00CC6067"/>
    <w:rsid w:val="00E61D0E"/>
    <w:rsid w:val="00FF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6CD37"/>
  <w15:chartTrackingRefBased/>
  <w15:docId w15:val="{29B39B08-D04A-40D9-B583-F96E8057C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2F07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2F07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2F07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F2F07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2F07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2F07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2F07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2F07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2F07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2F0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F0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F2F0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F2F0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2F0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2F0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2F0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2F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2F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333A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3A0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C4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prb.mncourts.gov/articles/Articles/Withdrawing%20as%20counsel%20(ethically)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Bibelhausen</dc:creator>
  <cp:keywords/>
  <dc:description/>
  <cp:lastModifiedBy>Joan Bibelhausen</cp:lastModifiedBy>
  <cp:revision>3</cp:revision>
  <dcterms:created xsi:type="dcterms:W3CDTF">2023-11-08T20:35:00Z</dcterms:created>
  <dcterms:modified xsi:type="dcterms:W3CDTF">2023-11-08T20:36:00Z</dcterms:modified>
</cp:coreProperties>
</file>